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F1" w:rsidRPr="00B80003" w:rsidRDefault="00E36AF1" w:rsidP="00C54DD0">
      <w:pPr>
        <w:pStyle w:val="Sinespaciado"/>
        <w:rPr>
          <w:lang w:val="es-MX" w:eastAsia="es-PE"/>
        </w:rPr>
      </w:pPr>
      <w:bookmarkStart w:id="0" w:name="_GoBack"/>
      <w:bookmarkEnd w:id="0"/>
      <w:r w:rsidRPr="00B80003">
        <w:rPr>
          <w:lang w:val="es-MX" w:eastAsia="es-PE"/>
        </w:rPr>
        <w:t>SOCIEDAD PERUANA DE ENDOCRINOLOGIA</w:t>
      </w:r>
    </w:p>
    <w:p w:rsidR="00E36AF1" w:rsidRPr="00B80003" w:rsidRDefault="00E36AF1" w:rsidP="009324AD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 xml:space="preserve">CONCURSO DE CASOS CLINICOS </w:t>
      </w:r>
    </w:p>
    <w:p w:rsidR="00E36AF1" w:rsidRPr="00B80003" w:rsidRDefault="00E36AF1" w:rsidP="009324AD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>RESIDENTES DE ENDOCRINOLOGIA</w:t>
      </w:r>
    </w:p>
    <w:p w:rsidR="009324AD" w:rsidRPr="00B80003" w:rsidRDefault="00E36AF1" w:rsidP="009324AD">
      <w:pPr>
        <w:spacing w:after="0" w:line="240" w:lineRule="auto"/>
        <w:ind w:left="708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>CASO CLÍNICO HOSPITAL NACIONAL EDGARDO REBAGLIATI</w:t>
      </w:r>
      <w:r w:rsidR="00175F8B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 xml:space="preserve"> </w:t>
      </w:r>
    </w:p>
    <w:p w:rsidR="008B729D" w:rsidRPr="00B80003" w:rsidRDefault="008B729D" w:rsidP="00E36AF1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</w:p>
    <w:p w:rsidR="00EE57DB" w:rsidRPr="00B80003" w:rsidRDefault="00EE57DB" w:rsidP="00E36AF1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>JEFE DE SERVICIO: Dra. NANCY URIBE TEJADA</w:t>
      </w:r>
    </w:p>
    <w:p w:rsidR="00E36AF1" w:rsidRPr="00B80003" w:rsidRDefault="00E36AF1" w:rsidP="00E36AF1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 xml:space="preserve">TUTOR: </w:t>
      </w: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ab/>
      </w: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ab/>
      </w:r>
      <w:r w:rsidR="00EC5D82"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 xml:space="preserve">   </w:t>
      </w:r>
      <w:r w:rsidR="00EE57DB"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 xml:space="preserve">Dr. </w:t>
      </w: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>JOSE LUIS PAZ IBARRA – HNERM – UNMSM.</w:t>
      </w:r>
    </w:p>
    <w:p w:rsidR="00EE57DB" w:rsidRPr="00B80003" w:rsidRDefault="00EE57DB" w:rsidP="00E36AF1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</w:p>
    <w:p w:rsidR="008B729D" w:rsidRPr="00B80003" w:rsidRDefault="008B729D" w:rsidP="009324AD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</w:p>
    <w:p w:rsidR="009324AD" w:rsidRPr="00B80003" w:rsidRDefault="00DA2FC2" w:rsidP="00DA2F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 xml:space="preserve">Título: </w:t>
      </w:r>
      <w:r w:rsidR="00E36AF1"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>VARON CON FRACTURA PATOLOGICA</w:t>
      </w:r>
      <w:r w:rsidR="008B729D"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 xml:space="preserve"> </w:t>
      </w:r>
      <w:r w:rsidR="00E36AF1"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 xml:space="preserve">SECUNDARIA </w:t>
      </w: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>A OSTEOMALACIA HIPOFOSFATEMICA</w:t>
      </w:r>
    </w:p>
    <w:p w:rsidR="009324AD" w:rsidRPr="00B80003" w:rsidRDefault="009324AD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</w:p>
    <w:p w:rsidR="009324AD" w:rsidRPr="00B80003" w:rsidRDefault="00DA2FC2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>Presentación del c</w:t>
      </w:r>
      <w:r w:rsidR="009324AD"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>aso:</w:t>
      </w:r>
    </w:p>
    <w:p w:rsidR="002B0CEA" w:rsidRPr="00B80003" w:rsidRDefault="00E36AF1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V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arón de 33 años con tiempo de enfermedad de 4 años caracterizado por dolor óseo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y limitación progresiva para deambular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.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Inició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con dolor intenso en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ambos pies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, que mejora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ba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parcialmente con reposo y analgésicos,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se asoció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dolor lumbar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, poliartralgias y polimialgias hasta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dificultad para la deambulación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.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El 2018 m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ientras se encontraba trabajando en Chile ante movimiento de leve intensidad presen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tó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dolo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r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intenso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en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tercio superior de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muslo derecho que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le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impedía la bipedestación y posterior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deambulación, la radiografía evidenció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trazo de fractura diafisiaria no consolidada de fémur derecho;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la DMO mostró 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T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-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score de -6.0 en c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uello de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fémur</w:t>
      </w:r>
      <w:r w:rsidR="0073358E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.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Regresó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a su lugar de origen (Trujillo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-Perú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) po</w:t>
      </w:r>
      <w:r w:rsidR="0073358E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r empeoramiento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de síntomas,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siendo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evaluado por diferentes especialistas (medicina interna, neurología, oncología, reumatología y hematología)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, sin encontrar causa evide</w:t>
      </w:r>
      <w:r w:rsidR="009D0AD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nte del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padecimiento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; ante la evidencia de normocalcemia, hipofosfatemia y elevación de fosfatasa alcalina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el último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realizó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biopsia de pelvis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e informó como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resultado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“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enfermedad de Paget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del hueso”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,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por lo que indicó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tratamiento con pamidronato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IV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por 9 meses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, última dosis 6 meses antes de su ingreso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. Al persistir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síntomas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viajó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a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Lima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donde fue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evaluado por múltiples especialistas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de forma particular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entre ellos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tres endocrinólogos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quienes concluye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ro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n en diagnóstico de “hiperparatiroidismo primario” con niveles altos de PTH intacta y gammagrafía de paratiroides con Tc SestaMIBI negativo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, </w:t>
      </w:r>
      <w:r w:rsidR="008E767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por lo que recomiendan acudir al seguro social para intervención quirúrgica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.</w:t>
      </w:r>
    </w:p>
    <w:p w:rsidR="009324AD" w:rsidRPr="00B80003" w:rsidRDefault="008E7670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En el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HNERM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recibimos a un paciente joven en silla de ruedas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con imposibilidad para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incorporarse, dolor generalizado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moderado a severo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; a</w:t>
      </w:r>
      <w:r w:rsidR="009D0AD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l examen físico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:</w:t>
      </w:r>
      <w:r w:rsidR="009D0AD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presenta deformidades a nivel de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columna dorsal, </w:t>
      </w:r>
      <w:r w:rsidR="009D0AD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rodillas y cadera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s</w:t>
      </w:r>
      <w:r w:rsidR="009D0AD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sin rasgos dismórficos. Antecedentes familiares negativos.</w:t>
      </w:r>
    </w:p>
    <w:p w:rsidR="002B0CEA" w:rsidRPr="00B80003" w:rsidRDefault="002B0CEA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Analítica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: Calcio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sérico corregido: 8.9mg/dl (VN: 8.5-10.5), fó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sforo: 1.0mg/dl (VN: 2.4-4.5), FA: 418UI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/L (VN: 44-147)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, PTH: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115pg/ml (VN: 15-65), 1,25-OH</w:t>
      </w:r>
      <w:r w:rsidRPr="00B80003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s-MX" w:eastAsia="es-PE"/>
        </w:rPr>
        <w:t>2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-V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itamina D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s-MX" w:eastAsia="es-PE"/>
        </w:rPr>
        <w:t>3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: 0.3ng/ml (VN: 1.0-8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.0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)</w:t>
      </w:r>
      <w:r w:rsidR="009D0AD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, </w:t>
      </w:r>
      <w:r w:rsidRPr="00B80003">
        <w:rPr>
          <w:rFonts w:ascii="Arial" w:hAnsi="Arial" w:cs="Arial"/>
          <w:sz w:val="24"/>
          <w:szCs w:val="24"/>
        </w:rPr>
        <w:t>25-OH-</w:t>
      </w:r>
      <w:r w:rsidR="009D0ADD" w:rsidRPr="00B80003">
        <w:rPr>
          <w:rFonts w:ascii="Arial" w:hAnsi="Arial" w:cs="Arial"/>
          <w:sz w:val="24"/>
          <w:szCs w:val="24"/>
        </w:rPr>
        <w:t>Vitamina D</w:t>
      </w:r>
      <w:r w:rsidR="009D0ADD" w:rsidRPr="00B80003">
        <w:rPr>
          <w:rFonts w:ascii="Arial" w:hAnsi="Arial" w:cs="Arial"/>
          <w:sz w:val="24"/>
          <w:szCs w:val="24"/>
          <w:vertAlign w:val="subscript"/>
        </w:rPr>
        <w:t>3</w:t>
      </w:r>
      <w:r w:rsidR="009D0ADD" w:rsidRPr="00B80003">
        <w:rPr>
          <w:rFonts w:ascii="Arial" w:hAnsi="Arial" w:cs="Arial"/>
          <w:sz w:val="24"/>
          <w:szCs w:val="24"/>
        </w:rPr>
        <w:t>: 19.0ng/mL (VN: &gt;12 ng/mL)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;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pruebas de función tiroidea, GGTP, hemograma, VSG, proteínas totales y fraccionadas, proteinograma electroforético en suero,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AGA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, sodio, potasio, cloro; y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examen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completo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de orina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: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N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ormal. </w:t>
      </w:r>
    </w:p>
    <w:p w:rsidR="009324AD" w:rsidRPr="00B80003" w:rsidRDefault="009324AD" w:rsidP="009324A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Survey óseo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mostró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disminución generalizada de la densidad ósea, fracturas de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Looser</w:t>
      </w:r>
      <w:proofErr w:type="spellEnd"/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-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Milkman</w:t>
      </w:r>
      <w:proofErr w:type="spellEnd"/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,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y trazo de fractura a nivel de cuello femoral derecho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no consolidada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. TEM corporal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: c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ambios de osteomalacia referida en esqueleto axial</w:t>
      </w:r>
      <w:r w:rsidR="002B0CEA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.</w:t>
      </w:r>
    </w:p>
    <w:p w:rsidR="007A1433" w:rsidRPr="00B80003" w:rsidRDefault="002B0CEA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lastRenderedPageBreak/>
        <w:t>Ante la presencia de hipofosfatemia severa persistente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a pesar de suplementos orales de fósforo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(dieta)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, calcitriol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(1mg/día)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y solución de </w:t>
      </w:r>
      <w:proofErr w:type="spellStart"/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Joulie</w:t>
      </w:r>
      <w:proofErr w:type="spellEnd"/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30ml cada 8 horas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, se procedió a evaluar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la tasa de reabsorción tubular de fosfato (TRP)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: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71.6% (VN: 85-95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)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y la 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reabsorción tubular máxima de fó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sforo ajustada a la tasa de filtración glomerular (TmP/GFR)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: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0.71mg/dl (VN para la edad: 3.09 - 4.18). </w:t>
      </w:r>
      <w:r w:rsidR="007A1433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La determinación de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FGF-23 sérico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resultó en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&gt; 450UI/ml </w:t>
      </w:r>
      <w:r w:rsidR="008739AB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(VN: &lt;50)</w:t>
      </w:r>
      <w:r w:rsidR="007A1433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.</w:t>
      </w:r>
    </w:p>
    <w:p w:rsidR="009324AD" w:rsidRPr="00B80003" w:rsidRDefault="007A1433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La evaluación con </w:t>
      </w:r>
      <w:r w:rsidR="008739AB" w:rsidRPr="00B80003"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s-MX" w:eastAsia="es-PE"/>
        </w:rPr>
        <w:t>18</w:t>
      </w:r>
      <w:r w:rsidR="008739AB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F-FDG PET/CT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informó: </w:t>
      </w:r>
      <w:r w:rsidR="008739AB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lesión nodular de aproximadamente 14 x 9mm en segmento superior del lóbulo inferior derecho, subyacente a la sexta unión costovertebral, con un SUV máx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imo</w:t>
      </w:r>
      <w:r w:rsidR="008739AB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de 3.1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; se complementó con </w:t>
      </w:r>
      <w:r w:rsidR="008739AB" w:rsidRPr="00B80003"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s-MX" w:eastAsia="es-PE"/>
        </w:rPr>
        <w:t>99</w:t>
      </w:r>
      <w:r w:rsidR="008739AB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mTc-HYNIC-TOC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que </w:t>
      </w:r>
      <w:r w:rsidR="008739AB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mostr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ó hipercaptación </w:t>
      </w:r>
      <w:r w:rsidR="008739AB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a la hora y a las 4 horas del examen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en la misma región anatómica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.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La 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R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MN permitió delimitar la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lesión solida </w:t>
      </w:r>
      <w:r w:rsidR="00A575A0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en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espacio paravertebral derecho D5-D6 de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16mm de diámetro.</w:t>
      </w:r>
    </w:p>
    <w:p w:rsidR="009324AD" w:rsidRPr="00B80003" w:rsidRDefault="007A1433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El p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aciente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fue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intervenido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por cirugía de tórax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por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video-toracoscopía (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Uniportal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)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.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Se procedió a realizar la resección con bordes amplios, se demostró la presencia de un tumor muy vascularizado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de 2x2cm de consistencia fibrosa;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la anatomía patológica (AP) informó: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tumor fosfatúrico mesenquimal de variante mixta de tejido conectivo. En controle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s postoperatorios paciente cursó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con normalización de los niveles de fosforo</w:t>
      </w:r>
      <w:r w:rsidR="00D67B05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hasta 3.6mg/dl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, TRP</w:t>
      </w:r>
      <w:r w:rsidR="00D67B05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: 90%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y TmP/GFR</w:t>
      </w:r>
      <w:r w:rsidR="00D67B05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: 5.2mg/dl a los 10 </w:t>
      </w:r>
      <w:r w:rsidR="00413D39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días</w:t>
      </w:r>
      <w:r w:rsidR="00D67B05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PO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, además de una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franca </w:t>
      </w:r>
      <w:r w:rsidR="009324A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mejoría sintomatológica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progresiva</w:t>
      </w:r>
      <w:r w:rsidR="00D67B05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.</w:t>
      </w:r>
    </w:p>
    <w:p w:rsidR="007A1433" w:rsidRPr="00B80003" w:rsidRDefault="007A1433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La evaluación a los 3 meses se confirmó la normalización del fósforo en sangre y orina. Recibe terapia por traumatología y medicina física y rehabilitación.</w:t>
      </w:r>
    </w:p>
    <w:p w:rsidR="009324AD" w:rsidRPr="00B80003" w:rsidRDefault="009324AD" w:rsidP="009324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</w:p>
    <w:p w:rsidR="009324AD" w:rsidRPr="00B80003" w:rsidRDefault="009324AD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t>Conclusiones:</w:t>
      </w:r>
    </w:p>
    <w:p w:rsidR="009324AD" w:rsidRPr="00B80003" w:rsidRDefault="009324AD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La osteomalacia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inducida por tumor (TIO)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es un síndrome paraneoplásico raro que produce desmineralización ósea generalizada secundario a un tumor productor de FGF23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generalmente benigno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. Debido a la naturaleza inespecífica de los síntomas,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el diagnóstico suele retrasarse entre 2 -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5 años. La presencia de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hipofosfatemia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en presencia de marcadores de recambio óseo elevados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,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tales como fosfatasa alcalina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,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y niveles normales de calcio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, nos orienta al diagnóstico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.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El h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iperparatiroidismo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se desarrolla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debido a una disminución de 1,25-OH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s-MX" w:eastAsia="es-PE"/>
        </w:rPr>
        <w:t>2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-vitamina D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vertAlign w:val="subscript"/>
          <w:lang w:val="es-MX" w:eastAsia="es-PE"/>
        </w:rPr>
        <w:t>3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por los efectos de FGF-23. </w:t>
      </w:r>
    </w:p>
    <w:p w:rsidR="00FE0F2C" w:rsidRPr="00B80003" w:rsidRDefault="009324AD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La pérdida renal de fosfatos se confirma con el cálculo del TRP y TmP/GFR, los cuales junto a un examen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completo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de orina normal y ausencia de antecedentes familiares, alejan una causa tubular y genética de la hipofosfatemia. </w:t>
      </w:r>
    </w:p>
    <w:p w:rsidR="009324AD" w:rsidRPr="00B80003" w:rsidRDefault="009324AD" w:rsidP="009324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El tamaño pequeño,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la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localización variable y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su lento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crecimiento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constituyen un desafío para su localización,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por lo que suele necesitarse la combinación de estudios funcionales como </w:t>
      </w:r>
      <w:r w:rsidR="00413D39" w:rsidRPr="00B80003"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s-MX" w:eastAsia="es-PE"/>
        </w:rPr>
        <w:t>18</w:t>
      </w:r>
      <w:r w:rsidR="00413D39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F-FDG PET/CT y </w:t>
      </w:r>
      <w:r w:rsidR="00413D39" w:rsidRPr="00B80003">
        <w:rPr>
          <w:rFonts w:ascii="Arial" w:eastAsia="Times New Roman" w:hAnsi="Arial" w:cs="Arial"/>
          <w:color w:val="222222"/>
          <w:sz w:val="24"/>
          <w:szCs w:val="24"/>
          <w:vertAlign w:val="superscript"/>
          <w:lang w:val="es-MX" w:eastAsia="es-PE"/>
        </w:rPr>
        <w:t>99</w:t>
      </w:r>
      <w:r w:rsidR="00413D39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mTc-HYNIC-TOC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,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que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poseen elevada sensibilidad y especifi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ci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dad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;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el uso de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TEM/RMN selectivos de la región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corporal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que muestra hipercaptación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confirma la ubicación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y delimita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el tumor. El dosaje de FGF-23 en suero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, cuando es disponible,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constituye un examen 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auxiliar 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que confirma su rol en la pé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r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dida renal de fó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sforo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.</w:t>
      </w:r>
    </w:p>
    <w:p w:rsidR="008B729D" w:rsidRPr="00B80003" w:rsidRDefault="009324AD" w:rsidP="003310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El tratamiento de elección es la resección quirúrgica del tumor</w:t>
      </w:r>
      <w:r w:rsidR="00FE0F2C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con bordes amplios 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considerando la gran vascularización luego de la cual se evidencia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 xml:space="preserve"> la normalización bioquímica y mejoría clínica en los días inmediatos</w:t>
      </w:r>
      <w:r w:rsidR="0033105D" w:rsidRPr="00B80003">
        <w:rPr>
          <w:rFonts w:ascii="Arial" w:eastAsia="Times New Roman" w:hAnsi="Arial" w:cs="Arial"/>
          <w:color w:val="222222"/>
          <w:sz w:val="24"/>
          <w:szCs w:val="24"/>
          <w:lang w:val="es-MX" w:eastAsia="es-PE"/>
        </w:rPr>
        <w:t>.</w:t>
      </w:r>
    </w:p>
    <w:p w:rsidR="00F361F5" w:rsidRDefault="00F361F5" w:rsidP="003310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</w:p>
    <w:p w:rsidR="004F3E4F" w:rsidRDefault="004F3E4F" w:rsidP="003310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</w:p>
    <w:p w:rsidR="004F3E4F" w:rsidRPr="00B80003" w:rsidRDefault="004F3E4F" w:rsidP="003310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</w:p>
    <w:p w:rsidR="00F361F5" w:rsidRPr="00B80003" w:rsidRDefault="00F361F5" w:rsidP="003310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</w:pPr>
      <w:r w:rsidRPr="00B80003">
        <w:rPr>
          <w:rFonts w:ascii="Arial" w:eastAsia="Times New Roman" w:hAnsi="Arial" w:cs="Arial"/>
          <w:b/>
          <w:color w:val="222222"/>
          <w:sz w:val="24"/>
          <w:szCs w:val="24"/>
          <w:lang w:val="es-MX" w:eastAsia="es-PE"/>
        </w:rPr>
        <w:lastRenderedPageBreak/>
        <w:t>Referencias</w:t>
      </w:r>
    </w:p>
    <w:p w:rsidR="0066108D" w:rsidRPr="00B80003" w:rsidRDefault="0066108D" w:rsidP="0066108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P </w:t>
      </w:r>
      <w:proofErr w:type="spellStart"/>
      <w:proofErr w:type="gram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Manghat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,</w:t>
      </w:r>
      <w:proofErr w:type="gram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R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Sodi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, R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Swaminathan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. Phosphate homeostasis and disorders. Annals of Clinical Biochemistry</w:t>
      </w:r>
      <w:r w:rsidR="00EC5D82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2014, Vol. 51(6) 631–656.</w:t>
      </w:r>
    </w:p>
    <w:p w:rsidR="0066108D" w:rsidRPr="00B80003" w:rsidRDefault="00E424C3" w:rsidP="00E424C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Richard Lee, Thomas J.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Weber</w:t>
      </w:r>
      <w:r w:rsidR="0066108D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Disorders</w:t>
      </w:r>
      <w:proofErr w:type="spellEnd"/>
      <w:r w:rsidR="0066108D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of phosphorus homeostasis.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Current Opinion in Endocrinology, Diabetes and Obesity 2010, 17:561–567.</w:t>
      </w:r>
    </w:p>
    <w:p w:rsidR="00E424C3" w:rsidRPr="00B80003" w:rsidRDefault="00E424C3" w:rsidP="00E424C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</w:pP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Marcucci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G,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Masi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L,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Ferrarì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S,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Haffner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D,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Javaid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MK,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Kamenický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P,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Reginster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JY, Rizzoli R, Brandi ML. Phosphate wasting disorders in adults.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Osteoporos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Int. 2018 Nov</w:t>
      </w:r>
      <w:proofErr w:type="gram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;29</w:t>
      </w:r>
      <w:proofErr w:type="gram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(11):2369-2387.</w:t>
      </w:r>
    </w:p>
    <w:p w:rsidR="00E424C3" w:rsidRPr="00B80003" w:rsidRDefault="00E424C3" w:rsidP="00E424C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Seiji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Fukumoto</w:t>
      </w:r>
      <w:proofErr w:type="spellEnd"/>
      <w:proofErr w:type="gram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, ,</w:t>
      </w:r>
      <w:proofErr w:type="gram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Keiichi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Ozono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, Toshimi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Michigami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, Masanori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Minagawa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.</w:t>
      </w:r>
      <w:r w:rsidRPr="00B80003">
        <w:rPr>
          <w:rFonts w:ascii="Arial" w:hAnsi="Arial" w:cs="Arial"/>
          <w:sz w:val="24"/>
          <w:szCs w:val="24"/>
          <w:lang w:val="en-US"/>
        </w:rPr>
        <w:t xml:space="preserve">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Pathogenesis and diagnostic criteria for rickets and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osteomalacia.Proposal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by an expert panel supported by Ministry of Health,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Labour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and Welfare, Japan, The Japanese Society for Bone and Mineral Research and The Japan Endocrine Society.</w:t>
      </w:r>
      <w:r w:rsidRPr="00B80003">
        <w:rPr>
          <w:rFonts w:ascii="Arial" w:hAnsi="Arial" w:cs="Arial"/>
          <w:sz w:val="24"/>
          <w:szCs w:val="24"/>
          <w:lang w:val="en-US"/>
        </w:rPr>
        <w:t xml:space="preserve">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Endocrine Journal 2015, 62 (8), 665-671.</w:t>
      </w:r>
    </w:p>
    <w:p w:rsidR="00E424C3" w:rsidRPr="00B80003" w:rsidRDefault="00E424C3" w:rsidP="00E424C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</w:pP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Anke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H.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Hautmann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, Matthias G.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Hautmann</w:t>
      </w:r>
      <w:proofErr w:type="gram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,Oliver</w:t>
      </w:r>
      <w:proofErr w:type="spellEnd"/>
      <w:proofErr w:type="gram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Kölbl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, Wolfgang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HerTumor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-Induced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Osteomalacia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: an Up-to-Date Review. </w:t>
      </w:r>
      <w:proofErr w:type="spellStart"/>
      <w:r w:rsidR="005E62F0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Curr</w:t>
      </w:r>
      <w:proofErr w:type="spellEnd"/>
      <w:r w:rsidR="005E62F0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</w:t>
      </w:r>
      <w:proofErr w:type="spellStart"/>
      <w:r w:rsidR="005E62F0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Rheumatol</w:t>
      </w:r>
      <w:proofErr w:type="spellEnd"/>
      <w:r w:rsidR="005E62F0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Rep </w:t>
      </w:r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(2015) 17:37.</w:t>
      </w:r>
    </w:p>
    <w:p w:rsidR="00E424C3" w:rsidRPr="00B80003" w:rsidRDefault="00E424C3" w:rsidP="00E424C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Zinan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Yin, Juan Du, Fan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Yu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Weibo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Xia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. Tumor-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induced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osteomalacia. Osteoporosis and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Sarcopenia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4 (2018) 119e127</w:t>
      </w:r>
      <w:r w:rsidR="005E62F0"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.</w:t>
      </w:r>
    </w:p>
    <w:p w:rsidR="00EC5D82" w:rsidRPr="00B80003" w:rsidRDefault="00EC5D82" w:rsidP="00EC5D8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Salvatore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Minisola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Munro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Peacock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Seijii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Fukumoto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, Cristiana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Cipriani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, Jessica Pepe, Sri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Harsha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Tella &amp; Michael T.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Collins.Tumour-induced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osteomalacia</w:t>
      </w:r>
      <w:r w:rsidRPr="00B80003">
        <w:rPr>
          <w:rFonts w:ascii="Arial" w:hAnsi="Arial" w:cs="Arial"/>
          <w:sz w:val="24"/>
          <w:szCs w:val="24"/>
        </w:rPr>
        <w:t xml:space="preserve"> .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Nature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Reviews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Disease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Primers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volume3,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Article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number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: 17044 (2017).</w:t>
      </w:r>
    </w:p>
    <w:p w:rsidR="00EC5D82" w:rsidRPr="00B80003" w:rsidRDefault="00EC5D82" w:rsidP="00B80003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</w:pPr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.M. 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Boland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,  P. J. 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Tebben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, A. L. 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Folpe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.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Phosphaturic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</w:t>
      </w:r>
      <w:proofErr w:type="spellStart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mesenchymal</w:t>
      </w:r>
      <w:proofErr w:type="spellEnd"/>
      <w:r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tumors: what an endocrinologist should know.</w:t>
      </w:r>
      <w:r w:rsidR="00B80003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J </w:t>
      </w:r>
      <w:proofErr w:type="spellStart"/>
      <w:r w:rsidR="00B80003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Endocrinol</w:t>
      </w:r>
      <w:proofErr w:type="spellEnd"/>
      <w:r w:rsidR="00B80003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 xml:space="preserve"> Invest. 2018 Oct</w:t>
      </w:r>
      <w:proofErr w:type="gramStart"/>
      <w:r w:rsidR="00B80003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;41</w:t>
      </w:r>
      <w:proofErr w:type="gramEnd"/>
      <w:r w:rsidR="00B80003" w:rsidRPr="00B80003">
        <w:rPr>
          <w:rFonts w:ascii="Arial" w:eastAsia="Times New Roman" w:hAnsi="Arial" w:cs="Arial"/>
          <w:color w:val="222222"/>
          <w:sz w:val="24"/>
          <w:szCs w:val="24"/>
          <w:lang w:val="en-US" w:eastAsia="es-PE"/>
        </w:rPr>
        <w:t>(10):1173-1184.</w:t>
      </w:r>
    </w:p>
    <w:p w:rsidR="00A14F2B" w:rsidRPr="00B80003" w:rsidRDefault="00A14F2B" w:rsidP="008B729D">
      <w:pPr>
        <w:rPr>
          <w:rFonts w:ascii="Arial" w:eastAsia="Times New Roman" w:hAnsi="Arial" w:cs="Arial"/>
          <w:sz w:val="24"/>
          <w:szCs w:val="24"/>
          <w:lang w:val="en-US" w:eastAsia="es-PE"/>
        </w:rPr>
      </w:pPr>
    </w:p>
    <w:p w:rsidR="008B729D" w:rsidRPr="00B80003" w:rsidRDefault="008B729D" w:rsidP="008B729D">
      <w:pPr>
        <w:rPr>
          <w:rFonts w:ascii="Arial" w:eastAsia="Times New Roman" w:hAnsi="Arial" w:cs="Arial"/>
          <w:b/>
          <w:sz w:val="24"/>
          <w:szCs w:val="24"/>
          <w:lang w:val="en-US" w:eastAsia="es-PE"/>
        </w:rPr>
      </w:pPr>
    </w:p>
    <w:sectPr w:rsidR="008B729D" w:rsidRPr="00B800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253AB"/>
    <w:multiLevelType w:val="hybridMultilevel"/>
    <w:tmpl w:val="231EB75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AD"/>
    <w:rsid w:val="000B6092"/>
    <w:rsid w:val="00175F8B"/>
    <w:rsid w:val="001853D6"/>
    <w:rsid w:val="002B0CEA"/>
    <w:rsid w:val="0033105D"/>
    <w:rsid w:val="00413D39"/>
    <w:rsid w:val="004F3E4F"/>
    <w:rsid w:val="005E62F0"/>
    <w:rsid w:val="0066108D"/>
    <w:rsid w:val="006F54FE"/>
    <w:rsid w:val="0073358E"/>
    <w:rsid w:val="007A1433"/>
    <w:rsid w:val="008739AB"/>
    <w:rsid w:val="008B729D"/>
    <w:rsid w:val="008E7670"/>
    <w:rsid w:val="009324AD"/>
    <w:rsid w:val="009D0ADD"/>
    <w:rsid w:val="00A14F2B"/>
    <w:rsid w:val="00A575A0"/>
    <w:rsid w:val="00B80003"/>
    <w:rsid w:val="00C54DD0"/>
    <w:rsid w:val="00D67B05"/>
    <w:rsid w:val="00DA2FC2"/>
    <w:rsid w:val="00E36AF1"/>
    <w:rsid w:val="00E424C3"/>
    <w:rsid w:val="00EC5D82"/>
    <w:rsid w:val="00EE57DB"/>
    <w:rsid w:val="00EF405E"/>
    <w:rsid w:val="00F361F5"/>
    <w:rsid w:val="00F55632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A575A0"/>
  </w:style>
  <w:style w:type="paragraph" w:styleId="Prrafodelista">
    <w:name w:val="List Paragraph"/>
    <w:basedOn w:val="Normal"/>
    <w:uiPriority w:val="34"/>
    <w:qFormat/>
    <w:rsid w:val="0066108D"/>
    <w:pPr>
      <w:ind w:left="720"/>
      <w:contextualSpacing/>
    </w:pPr>
  </w:style>
  <w:style w:type="paragraph" w:styleId="Sinespaciado">
    <w:name w:val="No Spacing"/>
    <w:uiPriority w:val="1"/>
    <w:qFormat/>
    <w:rsid w:val="00C54D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4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A575A0"/>
  </w:style>
  <w:style w:type="paragraph" w:styleId="Prrafodelista">
    <w:name w:val="List Paragraph"/>
    <w:basedOn w:val="Normal"/>
    <w:uiPriority w:val="34"/>
    <w:qFormat/>
    <w:rsid w:val="0066108D"/>
    <w:pPr>
      <w:ind w:left="720"/>
      <w:contextualSpacing/>
    </w:pPr>
  </w:style>
  <w:style w:type="paragraph" w:styleId="Sinespaciado">
    <w:name w:val="No Spacing"/>
    <w:uiPriority w:val="1"/>
    <w:qFormat/>
    <w:rsid w:val="00C54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</dc:creator>
  <cp:lastModifiedBy>SPE</cp:lastModifiedBy>
  <cp:revision>2</cp:revision>
  <dcterms:created xsi:type="dcterms:W3CDTF">2019-09-17T15:41:00Z</dcterms:created>
  <dcterms:modified xsi:type="dcterms:W3CDTF">2019-09-17T15:41:00Z</dcterms:modified>
</cp:coreProperties>
</file>